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left="200"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项目简介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海南南渡江迈湾水利枢纽是国务院确定的172项节水供水重大水利工程之一，工程建设任务以供水、灌溉、防洪为主，兼顾发电。水库正常蓄水位108m，总库容6.27亿m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,兴利调节库容4.87亿m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,防洪库容 2.2亿m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,工程等別为</w:t>
      </w:r>
      <w:r>
        <w:rPr>
          <w:rFonts w:hint="eastAsia" w:ascii="宋体" w:hAnsi="宋体" w:eastAsia="宋体" w:cs="宋体"/>
          <w:color w:val="000000"/>
          <w:sz w:val="24"/>
          <w:lang w:val="zh-CN"/>
        </w:rPr>
        <w:t>Ⅱ</w:t>
      </w:r>
      <w:r>
        <w:rPr>
          <w:rFonts w:hint="eastAsia" w:ascii="宋体" w:hAnsi="宋体"/>
          <w:color w:val="000000"/>
          <w:sz w:val="24"/>
          <w:lang w:val="zh-CN"/>
        </w:rPr>
        <w:t>等，规模为大（2）型。根据规划，水库2030年供水3.18亿m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, 2040年3.68亿 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,灌区总面积为55.75万亩，引用总流量为39.31m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/</w:t>
      </w:r>
      <w:r>
        <w:rPr>
          <w:rFonts w:hint="eastAsia" w:ascii="宋体" w:hAnsi="宋体"/>
          <w:color w:val="000000"/>
          <w:sz w:val="24"/>
          <w:lang w:val="en-US" w:eastAsia="zh-CN"/>
        </w:rPr>
        <w:t>s</w:t>
      </w:r>
      <w:r>
        <w:rPr>
          <w:rFonts w:hint="eastAsia" w:ascii="宋体" w:hAnsi="宋体"/>
          <w:color w:val="000000"/>
          <w:sz w:val="24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/>
          <w:color w:val="000000"/>
          <w:sz w:val="24"/>
          <w:lang w:val="zh-CN"/>
        </w:rPr>
        <w:t>枢纽建筑物由碾压混凝土主坝、土石副坝、左岸灌区渠首和过鱼设施（升鱼机）组成。其中主坝最大坝高75m,两岸工程开挖边坡均超过200m,为国内最高的类土质边坡之一。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26577"/>
    <w:rsid w:val="703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500" w:lineRule="exact"/>
      <w:ind w:firstLine="624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陈婉芬</cp:lastModifiedBy>
  <dcterms:modified xsi:type="dcterms:W3CDTF">2022-09-23T09:20:17Z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